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eastAsia="方正小标宋_GBK"/>
          <w:sz w:val="44"/>
          <w:szCs w:val="44"/>
        </w:rPr>
      </w:pPr>
    </w:p>
    <w:p>
      <w:pPr>
        <w:spacing w:line="600" w:lineRule="exact"/>
        <w:jc w:val="center"/>
        <w:rPr>
          <w:rFonts w:hint="default" w:ascii="方正小标宋_GBK" w:eastAsia="方正小标宋_GBK"/>
          <w:sz w:val="44"/>
          <w:szCs w:val="44"/>
          <w:lang w:val="en-US" w:eastAsia="zh-CN"/>
        </w:rPr>
      </w:pPr>
      <w:r>
        <w:rPr>
          <w:rFonts w:ascii="方正小标宋_GBK" w:eastAsia="方正小标宋_GBK"/>
          <w:sz w:val="44"/>
          <w:szCs w:val="44"/>
        </w:rPr>
        <w:t>《</w:t>
      </w:r>
      <w:r>
        <w:rPr>
          <w:rFonts w:hint="eastAsia" w:ascii="方正小标宋_GBK" w:eastAsia="方正小标宋_GBK"/>
          <w:sz w:val="44"/>
          <w:szCs w:val="44"/>
        </w:rPr>
        <w:t>第三方机构参与预算绩效管理业务监督管理办法》</w:t>
      </w:r>
      <w:r>
        <w:rPr>
          <w:rFonts w:hint="eastAsia" w:ascii="方正小标宋_GBK" w:eastAsia="方正小标宋_GBK"/>
          <w:sz w:val="44"/>
          <w:szCs w:val="44"/>
          <w:lang w:val="en-US" w:eastAsia="zh-CN"/>
        </w:rPr>
        <w:t>起草说明</w:t>
      </w:r>
    </w:p>
    <w:p>
      <w:pPr>
        <w:spacing w:line="560" w:lineRule="exact"/>
        <w:rPr>
          <w:rFonts w:ascii="方正楷体_GBK" w:hAnsi="仿宋" w:eastAsia="方正楷体_GBK"/>
          <w:sz w:val="32"/>
          <w:szCs w:val="32"/>
        </w:rPr>
      </w:pPr>
    </w:p>
    <w:p>
      <w:pPr>
        <w:spacing w:line="560" w:lineRule="exact"/>
        <w:ind w:firstLine="640" w:firstLineChars="200"/>
        <w:rPr>
          <w:rFonts w:hint="eastAsia" w:ascii="方正仿宋_GBK" w:hAnsi="仿宋" w:eastAsia="方正仿宋_GBK"/>
          <w:sz w:val="32"/>
          <w:szCs w:val="32"/>
          <w:lang w:val="en-US" w:eastAsia="zh-CN"/>
        </w:rPr>
      </w:pPr>
      <w:r>
        <w:rPr>
          <w:rFonts w:hint="eastAsia" w:ascii="方正仿宋_GBK" w:hAnsi="仿宋" w:eastAsia="方正仿宋_GBK"/>
          <w:sz w:val="32"/>
          <w:szCs w:val="32"/>
        </w:rPr>
        <w:t>为加强第三方机构参与预算绩效管理业务的监督管理，促进提高财政资源配置效率和使用效益，根据《财政部关于委托第三方机构参与预算绩效管理的指导意见》（财预〔2021〕6号）、《第三方机构预算绩效评价业务监督管理暂行办法》（财监〔2021〕4号）等有关规定，并结合实际情况，</w:t>
      </w:r>
      <w:r>
        <w:rPr>
          <w:rFonts w:hint="eastAsia" w:ascii="方正仿宋_GBK" w:hAnsi="仿宋" w:eastAsia="方正仿宋_GBK"/>
          <w:sz w:val="32"/>
          <w:szCs w:val="32"/>
          <w:lang w:val="en-US" w:eastAsia="zh-CN"/>
        </w:rPr>
        <w:t>沛县财政局起草</w:t>
      </w:r>
      <w:r>
        <w:rPr>
          <w:rFonts w:hint="eastAsia" w:ascii="方正仿宋_GBK" w:hAnsi="仿宋" w:eastAsia="方正仿宋_GBK"/>
          <w:sz w:val="32"/>
          <w:szCs w:val="32"/>
        </w:rPr>
        <w:t>了《第三方机构参与预算绩效管理业务监督管理办法》</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以下简称《办法》</w:t>
      </w:r>
      <w:r>
        <w:rPr>
          <w:rFonts w:hint="eastAsia" w:ascii="方正仿宋_GBK" w:hAnsi="仿宋" w:eastAsia="方正仿宋_GBK"/>
          <w:sz w:val="32"/>
          <w:szCs w:val="32"/>
          <w:lang w:eastAsia="zh-CN"/>
        </w:rPr>
        <w:t>）</w:t>
      </w:r>
      <w:r>
        <w:rPr>
          <w:rFonts w:hint="eastAsia" w:ascii="方正仿宋_GBK" w:hAnsi="仿宋" w:eastAsia="方正仿宋_GBK"/>
          <w:sz w:val="32"/>
          <w:szCs w:val="32"/>
        </w:rPr>
        <w:t>，现</w:t>
      </w:r>
      <w:r>
        <w:rPr>
          <w:rFonts w:hint="eastAsia" w:ascii="方正仿宋_GBK" w:hAnsi="仿宋" w:eastAsia="方正仿宋_GBK"/>
          <w:sz w:val="32"/>
          <w:szCs w:val="32"/>
          <w:lang w:val="en-US" w:eastAsia="zh-CN"/>
        </w:rPr>
        <w:t>将起草相关说明如下：</w:t>
      </w:r>
    </w:p>
    <w:p>
      <w:pPr>
        <w:spacing w:line="560" w:lineRule="exact"/>
        <w:ind w:firstLine="640" w:firstLineChars="200"/>
        <w:rPr>
          <w:rFonts w:hint="default" w:ascii="方正黑体_GBK" w:hAnsi="仿宋" w:eastAsia="方正黑体_GBK"/>
          <w:sz w:val="32"/>
          <w:szCs w:val="32"/>
          <w:lang w:val="en-US" w:eastAsia="zh-CN"/>
        </w:rPr>
      </w:pPr>
      <w:r>
        <w:rPr>
          <w:rFonts w:hint="eastAsia" w:ascii="方正黑体_GBK" w:hAnsi="仿宋" w:eastAsia="方正黑体_GBK"/>
          <w:sz w:val="32"/>
          <w:szCs w:val="32"/>
          <w:lang w:val="en-US" w:eastAsia="zh-CN"/>
        </w:rPr>
        <w:t>一、《办法》出台背景</w:t>
      </w:r>
    </w:p>
    <w:p>
      <w:pPr>
        <w:ind w:firstLine="640" w:firstLineChars="200"/>
        <w:rPr>
          <w:rFonts w:ascii="方正仿宋_GBK" w:hAnsi="仿宋" w:eastAsia="方正仿宋_GBK"/>
          <w:sz w:val="32"/>
          <w:szCs w:val="32"/>
        </w:rPr>
      </w:pPr>
      <w:r>
        <w:rPr>
          <w:rFonts w:ascii="方正仿宋_GBK" w:hAnsi="仿宋" w:eastAsia="方正仿宋_GBK"/>
          <w:sz w:val="32"/>
          <w:szCs w:val="32"/>
        </w:rPr>
        <w:t>为引导和规范第三方机构参与预算绩效管理业务，</w:t>
      </w:r>
      <w:r>
        <w:rPr>
          <w:rFonts w:hint="eastAsia" w:ascii="方正仿宋_GBK" w:hAnsi="仿宋" w:eastAsia="方正仿宋_GBK"/>
          <w:sz w:val="32"/>
          <w:szCs w:val="32"/>
        </w:rPr>
        <w:t>加强</w:t>
      </w:r>
      <w:r>
        <w:rPr>
          <w:rFonts w:ascii="方正仿宋_GBK" w:hAnsi="仿宋" w:eastAsia="方正仿宋_GBK"/>
          <w:sz w:val="32"/>
          <w:szCs w:val="32"/>
        </w:rPr>
        <w:t>第三方机构执业质量监督管理，促进提高财政资源配置效率和使用效益，</w:t>
      </w:r>
      <w:r>
        <w:rPr>
          <w:rFonts w:hint="eastAsia" w:ascii="方正仿宋_GBK" w:hAnsi="仿宋" w:eastAsia="方正仿宋_GBK"/>
          <w:sz w:val="32"/>
          <w:szCs w:val="32"/>
        </w:rPr>
        <w:t>根据</w:t>
      </w:r>
      <w:r>
        <w:rPr>
          <w:rFonts w:ascii="方正仿宋_GBK" w:hAnsi="仿宋" w:eastAsia="方正仿宋_GBK"/>
          <w:sz w:val="32"/>
          <w:szCs w:val="32"/>
        </w:rPr>
        <w:t>《中华人民共和国预算法》《中华人民共和国预算法实施条例》《财政部关于委托第三方机构参与预算绩效管理的指导意见》</w:t>
      </w:r>
      <w:r>
        <w:rPr>
          <w:rFonts w:hint="eastAsia" w:ascii="方正仿宋_GBK" w:hAnsi="仿宋" w:eastAsia="方正仿宋_GBK"/>
          <w:sz w:val="32"/>
          <w:szCs w:val="32"/>
        </w:rPr>
        <w:t>（财预</w:t>
      </w:r>
      <w:r>
        <w:rPr>
          <w:rFonts w:ascii="方正仿宋_GBK" w:hAnsi="仿宋" w:eastAsia="方正仿宋_GBK"/>
          <w:sz w:val="32"/>
          <w:szCs w:val="32"/>
        </w:rPr>
        <w:t>〔2021〕6号</w:t>
      </w:r>
      <w:r>
        <w:rPr>
          <w:rFonts w:hint="eastAsia" w:ascii="方正仿宋_GBK" w:hAnsi="仿宋" w:eastAsia="方正仿宋_GBK"/>
          <w:sz w:val="32"/>
          <w:szCs w:val="32"/>
        </w:rPr>
        <w:t>）、</w:t>
      </w:r>
      <w:r>
        <w:rPr>
          <w:rFonts w:ascii="方正仿宋_GBK" w:hAnsi="仿宋" w:eastAsia="方正仿宋_GBK"/>
          <w:sz w:val="32"/>
          <w:szCs w:val="32"/>
        </w:rPr>
        <w:t>《第三方机构预算绩效评价业务监督管理暂行办法》</w:t>
      </w:r>
      <w:r>
        <w:rPr>
          <w:rFonts w:hint="eastAsia" w:ascii="方正仿宋_GBK" w:hAnsi="仿宋" w:eastAsia="方正仿宋_GBK"/>
          <w:sz w:val="32"/>
          <w:szCs w:val="32"/>
        </w:rPr>
        <w:t>（财监</w:t>
      </w:r>
      <w:r>
        <w:rPr>
          <w:rFonts w:ascii="方正仿宋_GBK" w:hAnsi="仿宋" w:eastAsia="方正仿宋_GBK"/>
          <w:sz w:val="32"/>
          <w:szCs w:val="32"/>
        </w:rPr>
        <w:t>〔2021〕4号</w:t>
      </w:r>
      <w:r>
        <w:rPr>
          <w:rFonts w:hint="eastAsia" w:ascii="方正仿宋_GBK" w:hAnsi="仿宋" w:eastAsia="方正仿宋_GBK"/>
          <w:sz w:val="32"/>
          <w:szCs w:val="32"/>
        </w:rPr>
        <w:t>）和</w:t>
      </w:r>
      <w:r>
        <w:rPr>
          <w:rFonts w:ascii="方正仿宋_GBK" w:hAnsi="仿宋" w:eastAsia="方正仿宋_GBK"/>
          <w:sz w:val="32"/>
          <w:szCs w:val="32"/>
        </w:rPr>
        <w:t>《</w:t>
      </w:r>
      <w:r>
        <w:rPr>
          <w:rFonts w:hint="eastAsia" w:ascii="方正仿宋_GBK" w:hAnsi="仿宋" w:eastAsia="方正仿宋_GBK"/>
          <w:sz w:val="32"/>
          <w:szCs w:val="32"/>
        </w:rPr>
        <w:t>中共沛县县委沛县人民政府关于全面推进预算绩效管理的实施意见》（沛委发〔2019〕54号）</w:t>
      </w:r>
      <w:r>
        <w:rPr>
          <w:rFonts w:ascii="方正仿宋_GBK" w:hAnsi="仿宋" w:eastAsia="方正仿宋_GBK"/>
          <w:sz w:val="32"/>
          <w:szCs w:val="32"/>
        </w:rPr>
        <w:t>等</w:t>
      </w:r>
      <w:r>
        <w:rPr>
          <w:rFonts w:hint="eastAsia" w:ascii="方正仿宋_GBK" w:hAnsi="仿宋" w:eastAsia="方正仿宋_GBK"/>
          <w:sz w:val="32"/>
          <w:szCs w:val="32"/>
        </w:rPr>
        <w:t>有关规定</w:t>
      </w:r>
      <w:r>
        <w:rPr>
          <w:rFonts w:ascii="方正仿宋_GBK" w:hAnsi="仿宋" w:eastAsia="方正仿宋_GBK"/>
          <w:sz w:val="32"/>
          <w:szCs w:val="32"/>
        </w:rPr>
        <w:t>，</w:t>
      </w:r>
      <w:r>
        <w:rPr>
          <w:rFonts w:hint="eastAsia" w:ascii="方正仿宋_GBK" w:hAnsi="仿宋" w:eastAsia="方正仿宋_GBK"/>
          <w:sz w:val="32"/>
          <w:szCs w:val="32"/>
          <w:lang w:val="en-US" w:eastAsia="zh-CN"/>
        </w:rPr>
        <w:t>出台</w:t>
      </w:r>
      <w:r>
        <w:rPr>
          <w:rFonts w:ascii="方正仿宋_GBK" w:hAnsi="仿宋" w:eastAsia="方正仿宋_GBK"/>
          <w:sz w:val="32"/>
          <w:szCs w:val="32"/>
        </w:rPr>
        <w:t>本办法。</w:t>
      </w:r>
    </w:p>
    <w:p>
      <w:pPr>
        <w:spacing w:line="560" w:lineRule="exact"/>
        <w:ind w:firstLine="640" w:firstLineChars="200"/>
        <w:rPr>
          <w:rFonts w:hint="default" w:ascii="方正黑体_GBK" w:hAnsi="仿宋" w:eastAsia="方正黑体_GBK"/>
          <w:sz w:val="32"/>
          <w:szCs w:val="32"/>
          <w:lang w:val="en-US" w:eastAsia="zh-CN"/>
        </w:rPr>
      </w:pPr>
      <w:r>
        <w:rPr>
          <w:rFonts w:hint="eastAsia" w:ascii="方正黑体_GBK" w:hAnsi="仿宋" w:eastAsia="方正黑体_GBK"/>
          <w:sz w:val="32"/>
          <w:szCs w:val="32"/>
          <w:lang w:val="en-US" w:eastAsia="zh-CN"/>
        </w:rPr>
        <w:t>二、《办法》主要内容</w:t>
      </w:r>
    </w:p>
    <w:p>
      <w:pPr>
        <w:ind w:firstLine="640" w:firstLineChars="200"/>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办法共分为三十三条。</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一是明确第三方机构的范围。为</w:t>
      </w:r>
      <w:r>
        <w:rPr>
          <w:rFonts w:ascii="方正仿宋_GBK" w:hAnsi="仿宋" w:eastAsia="方正仿宋_GBK"/>
          <w:sz w:val="32"/>
          <w:szCs w:val="32"/>
        </w:rPr>
        <w:t>依法设立并向财政部门、预算部门和单位等管理、使用财政资金的主体（以下统称委托方）提供预算绩效管理服务，独立于委托方和预算绩效管理对象的组织，主要包括专业咨询机构、会计师事务所、资产评估机构、律师事务所、科研院所、高等院校等。</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二是明确第三方服务的内容。</w:t>
      </w:r>
      <w:r>
        <w:rPr>
          <w:rFonts w:ascii="方正仿宋_GBK" w:hAnsi="仿宋" w:eastAsia="方正仿宋_GBK"/>
          <w:sz w:val="32"/>
          <w:szCs w:val="32"/>
        </w:rPr>
        <w:t>预算绩效管理服务是指第三方机构接受委托方委托，对预算绩效管理对象进行绩效评估、绩效评价以及自评价情况核查等，并出具绩效评估报告、绩效评价报告、绩效核查报告等的专业服务行为。</w:t>
      </w:r>
    </w:p>
    <w:p>
      <w:pPr>
        <w:ind w:firstLine="643" w:firstLineChars="200"/>
        <w:rPr>
          <w:rFonts w:ascii="方正仿宋_GBK" w:hAnsi="仿宋" w:eastAsia="方正仿宋_GBK"/>
          <w:sz w:val="32"/>
          <w:szCs w:val="32"/>
        </w:rPr>
      </w:pPr>
      <w:r>
        <w:rPr>
          <w:rFonts w:hint="eastAsia" w:ascii="方正仿宋_GBK" w:hAnsi="仿宋" w:eastAsia="方正仿宋_GBK"/>
          <w:b/>
          <w:bCs/>
          <w:sz w:val="32"/>
          <w:szCs w:val="32"/>
          <w:lang w:val="en-US" w:eastAsia="zh-CN"/>
        </w:rPr>
        <w:t>三是</w:t>
      </w:r>
      <w:r>
        <w:rPr>
          <w:rFonts w:hint="eastAsia" w:ascii="方正仿宋_GBK" w:hAnsi="仿宋" w:eastAsia="方正仿宋_GBK"/>
          <w:b w:val="0"/>
          <w:bCs w:val="0"/>
          <w:sz w:val="32"/>
          <w:szCs w:val="32"/>
          <w:lang w:val="en-US" w:eastAsia="zh-CN"/>
        </w:rPr>
        <w:t>明确了主管机构的职责。县财政局</w:t>
      </w:r>
      <w:r>
        <w:rPr>
          <w:rFonts w:ascii="方正仿宋_GBK" w:hAnsi="仿宋" w:eastAsia="方正仿宋_GBK"/>
          <w:b w:val="0"/>
          <w:bCs w:val="0"/>
          <w:sz w:val="32"/>
          <w:szCs w:val="32"/>
        </w:rPr>
        <w:t>应依</w:t>
      </w:r>
      <w:r>
        <w:rPr>
          <w:rFonts w:ascii="方正仿宋_GBK" w:hAnsi="仿宋" w:eastAsia="方正仿宋_GBK"/>
          <w:sz w:val="32"/>
          <w:szCs w:val="32"/>
        </w:rPr>
        <w:t>法依规对第三方机构及其工作人员参与预算绩效管理业务进行管理和监督。第三方机构及其工作人员对县财政局的管理和监督工作应当予以配合。加强对第三方机构及其工作人员参与预算绩效管理业务的培训和指导，鼓励社会力量依法依规开展预算绩效管理业务培训。</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四是明确</w:t>
      </w:r>
      <w:r>
        <w:rPr>
          <w:rFonts w:ascii="方正仿宋_GBK" w:hAnsi="仿宋" w:eastAsia="方正仿宋_GBK"/>
          <w:sz w:val="32"/>
          <w:szCs w:val="32"/>
        </w:rPr>
        <w:t>第三方机构</w:t>
      </w:r>
      <w:r>
        <w:rPr>
          <w:rFonts w:hint="eastAsia" w:ascii="方正仿宋_GBK" w:hAnsi="仿宋" w:eastAsia="方正仿宋_GBK"/>
          <w:sz w:val="32"/>
          <w:szCs w:val="32"/>
          <w:lang w:val="en-US" w:eastAsia="zh-CN"/>
        </w:rPr>
        <w:t>开展业务遵循的原则。主要为</w:t>
      </w:r>
      <w:r>
        <w:rPr>
          <w:rFonts w:ascii="方正仿宋_GBK" w:hAnsi="仿宋" w:eastAsia="方正仿宋_GBK"/>
          <w:sz w:val="32"/>
          <w:szCs w:val="32"/>
        </w:rPr>
        <w:t>独立原则</w:t>
      </w:r>
      <w:r>
        <w:rPr>
          <w:rFonts w:hint="eastAsia" w:ascii="方正仿宋_GBK" w:hAnsi="仿宋" w:eastAsia="方正仿宋_GBK"/>
          <w:sz w:val="32"/>
          <w:szCs w:val="32"/>
          <w:lang w:eastAsia="zh-CN"/>
        </w:rPr>
        <w:t>、</w:t>
      </w:r>
      <w:r>
        <w:rPr>
          <w:rFonts w:ascii="方正仿宋_GBK" w:hAnsi="仿宋" w:eastAsia="方正仿宋_GBK"/>
          <w:sz w:val="32"/>
          <w:szCs w:val="32"/>
        </w:rPr>
        <w:t>客观原则</w:t>
      </w:r>
      <w:r>
        <w:rPr>
          <w:rFonts w:hint="eastAsia" w:ascii="方正仿宋_GBK" w:hAnsi="仿宋" w:eastAsia="方正仿宋_GBK"/>
          <w:sz w:val="32"/>
          <w:szCs w:val="32"/>
          <w:lang w:eastAsia="zh-CN"/>
        </w:rPr>
        <w:t>、</w:t>
      </w:r>
      <w:r>
        <w:rPr>
          <w:rFonts w:ascii="方正仿宋_GBK" w:hAnsi="仿宋" w:eastAsia="方正仿宋_GBK"/>
          <w:sz w:val="32"/>
          <w:szCs w:val="32"/>
          <w:lang w:val="en"/>
        </w:rPr>
        <w:t>规范</w:t>
      </w:r>
      <w:r>
        <w:rPr>
          <w:rFonts w:ascii="方正仿宋_GBK" w:hAnsi="仿宋" w:eastAsia="方正仿宋_GBK"/>
          <w:sz w:val="32"/>
          <w:szCs w:val="32"/>
        </w:rPr>
        <w:t>原则。第三方机构应当履行必要程序，合理选取具有代表性的样本，对原始资料和相关情况进行必要的核查验证，形成结论并出具相关报告。</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五是明确了第三方机构参与办法流程。</w:t>
      </w:r>
      <w:r>
        <w:rPr>
          <w:rFonts w:ascii="方正仿宋_GBK" w:hAnsi="仿宋" w:eastAsia="方正仿宋_GBK"/>
          <w:sz w:val="32"/>
          <w:szCs w:val="32"/>
        </w:rPr>
        <w:t>拟</w:t>
      </w:r>
      <w:r>
        <w:rPr>
          <w:rFonts w:hint="eastAsia" w:ascii="方正仿宋_GBK" w:hAnsi="仿宋" w:eastAsia="方正仿宋_GBK"/>
          <w:sz w:val="32"/>
          <w:szCs w:val="32"/>
        </w:rPr>
        <w:t>参与</w:t>
      </w:r>
      <w:r>
        <w:rPr>
          <w:rFonts w:ascii="方正仿宋_GBK" w:hAnsi="仿宋" w:eastAsia="方正仿宋_GBK"/>
          <w:sz w:val="32"/>
          <w:szCs w:val="32"/>
        </w:rPr>
        <w:t>预算绩效管理的第三方机构自领取营业执照或者法人证书之日起，可以通过财政部门户网站“预算绩效评价第三方机构信用管理平台”，录入机构信息</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六是对第三方机构参与业务明确禁止的行为作出规定。</w:t>
      </w:r>
      <w:r>
        <w:rPr>
          <w:rFonts w:ascii="方正仿宋_GBK" w:hAnsi="仿宋" w:eastAsia="方正仿宋_GBK"/>
          <w:sz w:val="32"/>
          <w:szCs w:val="32"/>
        </w:rPr>
        <w:t>第三方机构参</w:t>
      </w:r>
      <w:bookmarkStart w:id="0" w:name="_GoBack"/>
      <w:bookmarkEnd w:id="0"/>
      <w:r>
        <w:rPr>
          <w:rFonts w:ascii="方正仿宋_GBK" w:hAnsi="仿宋" w:eastAsia="方正仿宋_GBK"/>
          <w:sz w:val="32"/>
          <w:szCs w:val="32"/>
        </w:rPr>
        <w:t>与预算绩效管理业务，不得</w:t>
      </w:r>
      <w:r>
        <w:rPr>
          <w:rFonts w:hint="eastAsia" w:ascii="方正仿宋_GBK" w:hAnsi="仿宋" w:eastAsia="方正仿宋_GBK"/>
          <w:sz w:val="32"/>
          <w:szCs w:val="32"/>
          <w:lang w:val="en-US" w:eastAsia="zh-CN"/>
        </w:rPr>
        <w:t>存在的具体七种</w:t>
      </w:r>
      <w:r>
        <w:rPr>
          <w:rFonts w:ascii="方正仿宋_GBK" w:hAnsi="仿宋" w:eastAsia="方正仿宋_GBK"/>
          <w:sz w:val="32"/>
          <w:szCs w:val="32"/>
        </w:rPr>
        <w:t>行为。</w:t>
      </w:r>
    </w:p>
    <w:p>
      <w:pPr>
        <w:ind w:firstLine="640" w:firstLineChars="200"/>
        <w:rPr>
          <w:rFonts w:ascii="方正仿宋_GBK" w:hAnsi="仿宋" w:eastAsia="方正仿宋_GBK"/>
          <w:sz w:val="32"/>
          <w:szCs w:val="32"/>
        </w:rPr>
      </w:pPr>
    </w:p>
    <w:p>
      <w:pPr>
        <w:ind w:firstLine="640" w:firstLineChars="200"/>
        <w:rPr>
          <w:rFonts w:ascii="方正仿宋_GBK" w:hAnsi="仿宋" w:eastAsia="方正仿宋_GBK"/>
          <w:sz w:val="32"/>
          <w:szCs w:val="32"/>
        </w:rPr>
      </w:pPr>
    </w:p>
    <w:p>
      <w:pPr>
        <w:ind w:firstLine="640" w:firstLineChars="200"/>
        <w:rPr>
          <w:rFonts w:ascii="方正仿宋_GBK" w:hAnsi="仿宋" w:eastAsia="方正仿宋_GBK"/>
          <w:sz w:val="32"/>
          <w:szCs w:val="32"/>
        </w:rPr>
      </w:pPr>
    </w:p>
    <w:p>
      <w:pPr>
        <w:ind w:firstLine="640" w:firstLineChars="200"/>
        <w:rPr>
          <w:rFonts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ind w:firstLine="640" w:firstLineChars="200"/>
        <w:rPr>
          <w:rFonts w:hint="eastAsia" w:ascii="方正仿宋_GBK" w:hAnsi="仿宋" w:eastAsia="方正仿宋_GBK"/>
          <w:sz w:val="32"/>
          <w:szCs w:val="32"/>
        </w:rPr>
      </w:pPr>
    </w:p>
    <w:p>
      <w:pPr>
        <w:rPr>
          <w:rFonts w:ascii="方正仿宋_GBK" w:hAnsi="仿宋" w:eastAsia="方正仿宋_GBK"/>
          <w:sz w:val="32"/>
          <w:szCs w:val="32"/>
        </w:rPr>
      </w:pPr>
    </w:p>
    <w:p>
      <w:pPr>
        <w:widowControl/>
        <w:jc w:val="left"/>
        <w:rPr>
          <w:rFonts w:ascii="方正仿宋_GBK" w:hAnsi="仿宋" w:eastAsia="方正仿宋_GBK"/>
          <w:sz w:val="32"/>
          <w:szCs w:val="32"/>
        </w:rPr>
      </w:pPr>
      <w:r>
        <w:rPr>
          <w:rFonts w:ascii="方正仿宋_GBK" w:hAnsi="仿宋" w:eastAsia="方正仿宋_GBK"/>
          <w:sz w:val="32"/>
          <w:szCs w:val="32"/>
        </w:rPr>
        <w:br w:type="page"/>
      </w:r>
    </w:p>
    <w:p>
      <w:pPr>
        <w:rPr>
          <w:rFonts w:ascii="方正仿宋_GBK" w:hAnsi="仿宋" w:eastAsia="方正仿宋_GBK"/>
          <w:sz w:val="32"/>
          <w:szCs w:val="32"/>
        </w:rPr>
      </w:pPr>
    </w:p>
    <w:p>
      <w:pPr>
        <w:rPr>
          <w:rFonts w:ascii="方正仿宋_GBK" w:hAnsi="仿宋" w:eastAsia="方正仿宋_GBK"/>
          <w:sz w:val="32"/>
          <w:szCs w:val="32"/>
        </w:rPr>
      </w:pPr>
    </w:p>
    <w:p>
      <w:pPr>
        <w:rPr>
          <w:rFonts w:ascii="方正仿宋_GBK" w:hAnsi="仿宋" w:eastAsia="方正仿宋_GBK"/>
          <w:sz w:val="32"/>
          <w:szCs w:val="32"/>
        </w:rPr>
      </w:pPr>
    </w:p>
    <w:p>
      <w:pPr>
        <w:rPr>
          <w:rFonts w:ascii="方正仿宋_GBK" w:hAnsi="仿宋" w:eastAsia="方正仿宋_GBK"/>
          <w:sz w:val="32"/>
          <w:szCs w:val="32"/>
        </w:rPr>
      </w:pPr>
    </w:p>
    <w:tbl>
      <w:tblPr>
        <w:tblStyle w:val="4"/>
        <w:tblpPr w:leftFromText="180" w:rightFromText="180" w:vertAnchor="text" w:horzAnchor="margin" w:tblpY="8766"/>
        <w:tblW w:w="0" w:type="auto"/>
        <w:tblInd w:w="0" w:type="dxa"/>
        <w:tblLayout w:type="autofit"/>
        <w:tblCellMar>
          <w:top w:w="0" w:type="dxa"/>
          <w:left w:w="108" w:type="dxa"/>
          <w:bottom w:w="0" w:type="dxa"/>
          <w:right w:w="108" w:type="dxa"/>
        </w:tblCellMar>
      </w:tblPr>
      <w:tblGrid>
        <w:gridCol w:w="8947"/>
      </w:tblGrid>
      <w:tr>
        <w:tblPrEx>
          <w:tblCellMar>
            <w:top w:w="0" w:type="dxa"/>
            <w:left w:w="108" w:type="dxa"/>
            <w:bottom w:w="0" w:type="dxa"/>
            <w:right w:w="108" w:type="dxa"/>
          </w:tblCellMar>
        </w:tblPrEx>
        <w:tc>
          <w:tcPr>
            <w:tcW w:w="9004" w:type="dxa"/>
            <w:tcBorders>
              <w:bottom w:val="single" w:color="auto" w:sz="12" w:space="0"/>
            </w:tcBorders>
          </w:tcPr>
          <w:p>
            <w:pPr>
              <w:widowControl/>
              <w:spacing w:line="500" w:lineRule="exact"/>
              <w:ind w:right="641"/>
              <w:jc w:val="left"/>
              <w:rPr>
                <w:rFonts w:ascii="方正黑体_GBK" w:hAnsi="华文中宋" w:eastAsia="方正黑体_GBK" w:cs="Times New Roman"/>
                <w:sz w:val="28"/>
                <w:szCs w:val="28"/>
              </w:rPr>
            </w:pPr>
            <w:r>
              <w:rPr>
                <w:rFonts w:hint="eastAsia" w:ascii="方正黑体_GBK" w:hAnsi="宋体" w:eastAsia="方正黑体_GBK" w:cs="宋体"/>
                <w:kern w:val="0"/>
                <w:sz w:val="32"/>
                <w:szCs w:val="32"/>
              </w:rPr>
              <w:t>信息公开选项：主动公开</w:t>
            </w:r>
          </w:p>
        </w:tc>
      </w:tr>
      <w:tr>
        <w:tblPrEx>
          <w:tblCellMar>
            <w:top w:w="0" w:type="dxa"/>
            <w:left w:w="108" w:type="dxa"/>
            <w:bottom w:w="0" w:type="dxa"/>
            <w:right w:w="108" w:type="dxa"/>
          </w:tblCellMar>
        </w:tblPrEx>
        <w:tc>
          <w:tcPr>
            <w:tcW w:w="9004" w:type="dxa"/>
            <w:tcBorders>
              <w:top w:val="single" w:color="auto" w:sz="12" w:space="0"/>
              <w:bottom w:val="single" w:color="auto" w:sz="6" w:space="0"/>
            </w:tcBorders>
          </w:tcPr>
          <w:p>
            <w:pPr>
              <w:tabs>
                <w:tab w:val="left" w:pos="7560"/>
              </w:tabs>
              <w:spacing w:line="500" w:lineRule="exact"/>
              <w:ind w:firstLine="280" w:firstLineChars="100"/>
              <w:rPr>
                <w:rFonts w:ascii="方正仿宋_GBK" w:hAnsi="华文中宋" w:eastAsia="方正仿宋_GBK" w:cs="Times New Roman"/>
                <w:sz w:val="28"/>
                <w:szCs w:val="28"/>
              </w:rPr>
            </w:pPr>
            <w:r>
              <w:rPr>
                <w:rFonts w:hint="eastAsia" w:ascii="方正仿宋_GBK" w:hAnsi="华文中宋" w:eastAsia="方正仿宋_GBK" w:cs="Times New Roman"/>
                <w:sz w:val="28"/>
                <w:szCs w:val="28"/>
              </w:rPr>
              <w:t>抄送：各镇（街道、区）财政所（局）。</w:t>
            </w:r>
          </w:p>
        </w:tc>
      </w:tr>
      <w:tr>
        <w:tblPrEx>
          <w:tblCellMar>
            <w:top w:w="0" w:type="dxa"/>
            <w:left w:w="108" w:type="dxa"/>
            <w:bottom w:w="0" w:type="dxa"/>
            <w:right w:w="108" w:type="dxa"/>
          </w:tblCellMar>
        </w:tblPrEx>
        <w:tc>
          <w:tcPr>
            <w:tcW w:w="9004" w:type="dxa"/>
            <w:tcBorders>
              <w:top w:val="single" w:color="auto" w:sz="6" w:space="0"/>
              <w:bottom w:val="single" w:color="auto" w:sz="12" w:space="0"/>
            </w:tcBorders>
          </w:tcPr>
          <w:p>
            <w:pPr>
              <w:tabs>
                <w:tab w:val="left" w:pos="7560"/>
              </w:tabs>
              <w:spacing w:line="500" w:lineRule="exact"/>
              <w:ind w:firstLine="280" w:firstLineChars="100"/>
              <w:rPr>
                <w:rFonts w:ascii="方正仿宋_GBK" w:hAnsi="华文中宋" w:eastAsia="方正仿宋_GBK" w:cs="Times New Roman"/>
                <w:sz w:val="28"/>
                <w:szCs w:val="28"/>
              </w:rPr>
            </w:pPr>
            <w:r>
              <w:rPr>
                <w:rFonts w:hint="eastAsia" w:ascii="方正仿宋_GBK" w:hAnsi="华文中宋" w:eastAsia="方正仿宋_GBK" w:cs="Times New Roman"/>
                <w:sz w:val="28"/>
                <w:szCs w:val="28"/>
              </w:rPr>
              <w:t xml:space="preserve">沛县财政局办公室　　　　　　             </w:t>
            </w:r>
            <w:r>
              <w:rPr>
                <w:rFonts w:hint="eastAsia" w:ascii="方正仿宋_GBK" w:hAnsi="Times New Roman" w:eastAsia="方正仿宋_GBK" w:cs="Times New Roman"/>
                <w:snapToGrid w:val="0"/>
                <w:kern w:val="0"/>
                <w:sz w:val="28"/>
                <w:szCs w:val="28"/>
              </w:rPr>
              <w:t>2023年7月24日印发</w:t>
            </w:r>
          </w:p>
        </w:tc>
      </w:tr>
    </w:tbl>
    <w:p>
      <w:pPr>
        <w:rPr>
          <w:rFonts w:ascii="方正仿宋_GBK" w:hAnsi="仿宋" w:eastAsia="方正仿宋_GBK"/>
          <w:sz w:val="32"/>
          <w:szCs w:val="32"/>
        </w:rPr>
      </w:pPr>
    </w:p>
    <w:sectPr>
      <w:footerReference r:id="rId3" w:type="default"/>
      <w:footerReference r:id="rId4" w:type="even"/>
      <w:pgSz w:w="11906" w:h="16838"/>
      <w:pgMar w:top="2098" w:right="1587" w:bottom="2098" w:left="1588" w:header="851" w:footer="1588" w:gutter="0"/>
      <w:pgNumType w:fmt="numberInDash"/>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866959"/>
      <w:docPartObj>
        <w:docPartGallery w:val="autotext"/>
      </w:docPartObj>
    </w:sdtPr>
    <w:sdtEndPr>
      <w:rPr>
        <w:rFonts w:ascii="宋体" w:hAnsi="宋体" w:eastAsia="宋体"/>
        <w:sz w:val="28"/>
        <w:szCs w:val="28"/>
      </w:rPr>
    </w:sdtEndPr>
    <w:sdtContent>
      <w:p>
        <w:pPr>
          <w:pStyle w:val="2"/>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708720"/>
      <w:docPartObj>
        <w:docPartGallery w:val="autotext"/>
      </w:docPartObj>
    </w:sdtPr>
    <w:sdtEndPr>
      <w:rPr>
        <w:rFonts w:ascii="宋体" w:hAnsi="宋体" w:eastAsia="宋体"/>
        <w:sz w:val="28"/>
        <w:szCs w:val="28"/>
      </w:rPr>
    </w:sdtEndPr>
    <w:sdtContent>
      <w:p>
        <w:pPr>
          <w:pStyle w:val="2"/>
          <w:ind w:firstLine="1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OGMyMDM4NDgxY2E2NzhhY2RmMzZjZDc1ODFmYjkifQ=="/>
  </w:docVars>
  <w:rsids>
    <w:rsidRoot w:val="005F588E"/>
    <w:rsid w:val="000608A4"/>
    <w:rsid w:val="00075209"/>
    <w:rsid w:val="000954A6"/>
    <w:rsid w:val="001076B4"/>
    <w:rsid w:val="00186677"/>
    <w:rsid w:val="00187A3A"/>
    <w:rsid w:val="001B5973"/>
    <w:rsid w:val="001E37B1"/>
    <w:rsid w:val="002111A6"/>
    <w:rsid w:val="0022405E"/>
    <w:rsid w:val="002439A7"/>
    <w:rsid w:val="00291E78"/>
    <w:rsid w:val="002C69D4"/>
    <w:rsid w:val="0033198F"/>
    <w:rsid w:val="00394801"/>
    <w:rsid w:val="00394C39"/>
    <w:rsid w:val="003B4D45"/>
    <w:rsid w:val="003B6B18"/>
    <w:rsid w:val="003F0EC0"/>
    <w:rsid w:val="00407809"/>
    <w:rsid w:val="004524D8"/>
    <w:rsid w:val="00465A86"/>
    <w:rsid w:val="004B0AEE"/>
    <w:rsid w:val="004C55B2"/>
    <w:rsid w:val="004E1DF8"/>
    <w:rsid w:val="004F3C65"/>
    <w:rsid w:val="004F40FC"/>
    <w:rsid w:val="004F6BBB"/>
    <w:rsid w:val="00553AE5"/>
    <w:rsid w:val="005562AD"/>
    <w:rsid w:val="0056026C"/>
    <w:rsid w:val="00564D35"/>
    <w:rsid w:val="00595158"/>
    <w:rsid w:val="00597942"/>
    <w:rsid w:val="005A3B0C"/>
    <w:rsid w:val="005C37A0"/>
    <w:rsid w:val="005F588E"/>
    <w:rsid w:val="006114D0"/>
    <w:rsid w:val="00655504"/>
    <w:rsid w:val="006C5355"/>
    <w:rsid w:val="006F326A"/>
    <w:rsid w:val="0072510D"/>
    <w:rsid w:val="0079613B"/>
    <w:rsid w:val="007A6F94"/>
    <w:rsid w:val="007B09A1"/>
    <w:rsid w:val="007E57F2"/>
    <w:rsid w:val="007F67B6"/>
    <w:rsid w:val="00841612"/>
    <w:rsid w:val="00857971"/>
    <w:rsid w:val="008813BB"/>
    <w:rsid w:val="00881B86"/>
    <w:rsid w:val="00883D50"/>
    <w:rsid w:val="008F4DE0"/>
    <w:rsid w:val="00913631"/>
    <w:rsid w:val="009A4CE0"/>
    <w:rsid w:val="00A44E3A"/>
    <w:rsid w:val="00A537B4"/>
    <w:rsid w:val="00AC50DF"/>
    <w:rsid w:val="00B54C8F"/>
    <w:rsid w:val="00B94B38"/>
    <w:rsid w:val="00BA7AFE"/>
    <w:rsid w:val="00BE1658"/>
    <w:rsid w:val="00BE2298"/>
    <w:rsid w:val="00BE7CDD"/>
    <w:rsid w:val="00C14773"/>
    <w:rsid w:val="00C275B1"/>
    <w:rsid w:val="00CE5C81"/>
    <w:rsid w:val="00D65A56"/>
    <w:rsid w:val="00D75774"/>
    <w:rsid w:val="00DD4319"/>
    <w:rsid w:val="00E045C4"/>
    <w:rsid w:val="00E11008"/>
    <w:rsid w:val="00E30CAC"/>
    <w:rsid w:val="00E315A0"/>
    <w:rsid w:val="00E71BD8"/>
    <w:rsid w:val="00E77E4F"/>
    <w:rsid w:val="00E83B9E"/>
    <w:rsid w:val="00E95CB2"/>
    <w:rsid w:val="00ED11A8"/>
    <w:rsid w:val="00ED2394"/>
    <w:rsid w:val="00EE71AB"/>
    <w:rsid w:val="00F03D4C"/>
    <w:rsid w:val="00F11482"/>
    <w:rsid w:val="00F41C4C"/>
    <w:rsid w:val="00F56610"/>
    <w:rsid w:val="00FA7AEA"/>
    <w:rsid w:val="10B63DA4"/>
    <w:rsid w:val="4494130F"/>
    <w:rsid w:val="4618489E"/>
    <w:rsid w:val="4C5145E8"/>
    <w:rsid w:val="50D71C4E"/>
    <w:rsid w:val="5E1C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EE82-1AF8-44D2-9ED5-DD572F18035F}">
  <ds:schemaRefs/>
</ds:datastoreItem>
</file>

<file path=docProps/app.xml><?xml version="1.0" encoding="utf-8"?>
<Properties xmlns="http://schemas.openxmlformats.org/officeDocument/2006/extended-properties" xmlns:vt="http://schemas.openxmlformats.org/officeDocument/2006/docPropsVTypes">
  <Template>Normal</Template>
  <Pages>13</Pages>
  <Words>5043</Words>
  <Characters>5067</Characters>
  <Lines>38</Lines>
  <Paragraphs>10</Paragraphs>
  <TotalTime>6</TotalTime>
  <ScaleCrop>false</ScaleCrop>
  <LinksUpToDate>false</LinksUpToDate>
  <CharactersWithSpaces>5124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2023-05-30T08:47:00Z</dcterms:created>
  <dc:creator>px</dc:creator>
  <cp:lastModifiedBy>综合科王凡</cp:lastModifiedBy>
  <cp:lastPrinted>2023-07-24T01:33:00Z</cp:lastPrinted>
  <dcterms:modified xsi:type="dcterms:W3CDTF">2024-01-31T11:39:07Z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A3D133E8F97B471B8CE1D16FB31D4DAC_13</vt:lpwstr>
  </property>
</Properties>
</file>